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11" w:rsidRDefault="00644BA3" w:rsidP="000E092B">
      <w:pPr>
        <w:pStyle w:val="NoSpacing"/>
        <w:ind w:left="360"/>
        <w:jc w:val="center"/>
      </w:pPr>
      <w:r>
        <w:t>7 Keys to Comprehension</w:t>
      </w:r>
    </w:p>
    <w:p w:rsidR="00644BA3" w:rsidRPr="00644BA3" w:rsidRDefault="00644BA3" w:rsidP="000E092B">
      <w:pPr>
        <w:pStyle w:val="NoSpacing"/>
        <w:ind w:left="360"/>
        <w:jc w:val="center"/>
        <w:rPr>
          <w:sz w:val="16"/>
          <w:szCs w:val="16"/>
        </w:rPr>
      </w:pPr>
    </w:p>
    <w:tbl>
      <w:tblPr>
        <w:tblStyle w:val="TableGrid"/>
        <w:tblW w:w="5000" w:type="pct"/>
        <w:tblLook w:val="04A0" w:firstRow="1" w:lastRow="0" w:firstColumn="1" w:lastColumn="0" w:noHBand="0" w:noVBand="1"/>
      </w:tblPr>
      <w:tblGrid>
        <w:gridCol w:w="1526"/>
        <w:gridCol w:w="4139"/>
        <w:gridCol w:w="5125"/>
      </w:tblGrid>
      <w:tr w:rsidR="00644BA3" w:rsidRPr="00FF4511" w:rsidTr="00644BA3">
        <w:tc>
          <w:tcPr>
            <w:tcW w:w="707" w:type="pct"/>
          </w:tcPr>
          <w:p w:rsidR="00644BA3" w:rsidRPr="00FF4511" w:rsidRDefault="00644BA3" w:rsidP="006E174F">
            <w:pPr>
              <w:pStyle w:val="NoSpacing"/>
              <w:rPr>
                <w:b/>
                <w:bCs/>
                <w:i/>
                <w:iCs/>
              </w:rPr>
            </w:pPr>
          </w:p>
        </w:tc>
        <w:tc>
          <w:tcPr>
            <w:tcW w:w="1918" w:type="pct"/>
          </w:tcPr>
          <w:p w:rsidR="00644BA3" w:rsidRPr="00FF4511" w:rsidRDefault="00644BA3" w:rsidP="006E174F">
            <w:pPr>
              <w:pStyle w:val="NoSpacing"/>
            </w:pPr>
          </w:p>
        </w:tc>
        <w:tc>
          <w:tcPr>
            <w:tcW w:w="2375" w:type="pct"/>
          </w:tcPr>
          <w:p w:rsidR="00644BA3" w:rsidRPr="00FF4511" w:rsidRDefault="00864CF2" w:rsidP="006E174F">
            <w:pPr>
              <w:pStyle w:val="NoSpacing"/>
              <w:jc w:val="center"/>
              <w:rPr>
                <w:b/>
                <w:bCs/>
                <w:i/>
                <w:iCs/>
              </w:rPr>
            </w:pPr>
            <w:r>
              <w:rPr>
                <w:b/>
                <w:bCs/>
                <w:iCs/>
              </w:rPr>
              <w:t>Evidence</w:t>
            </w:r>
            <w:bookmarkStart w:id="0" w:name="_GoBack"/>
            <w:bookmarkEnd w:id="0"/>
          </w:p>
        </w:tc>
      </w:tr>
      <w:tr w:rsidR="00644BA3" w:rsidRPr="00FF4511" w:rsidTr="00644BA3">
        <w:trPr>
          <w:trHeight w:val="1916"/>
        </w:trPr>
        <w:tc>
          <w:tcPr>
            <w:tcW w:w="707" w:type="pct"/>
            <w:vAlign w:val="center"/>
          </w:tcPr>
          <w:p w:rsidR="00644BA3" w:rsidRPr="00FF4511" w:rsidRDefault="00644BA3" w:rsidP="006E174F">
            <w:pPr>
              <w:pStyle w:val="NoSpacing"/>
              <w:jc w:val="center"/>
            </w:pPr>
            <w:r w:rsidRPr="00FF4511">
              <w:rPr>
                <w:b/>
                <w:bCs/>
                <w:i/>
                <w:iCs/>
              </w:rPr>
              <w:t>Create Mental Images:</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create a wide range of visual, auditory, and other sensory images as they read, and they become emotionally involved with that they read. They create a “motion picture” in their heads.</w:t>
            </w:r>
          </w:p>
        </w:tc>
        <w:tc>
          <w:tcPr>
            <w:tcW w:w="2375" w:type="pct"/>
          </w:tcPr>
          <w:p w:rsidR="00644BA3" w:rsidRPr="00FF4511" w:rsidRDefault="00644BA3" w:rsidP="006E174F">
            <w:pPr>
              <w:pStyle w:val="NoSpacing"/>
              <w:rPr>
                <w:b/>
                <w:bCs/>
                <w:i/>
                <w:iCs/>
              </w:rPr>
            </w:pPr>
          </w:p>
        </w:tc>
      </w:tr>
      <w:tr w:rsidR="00644BA3" w:rsidRPr="00FF4511" w:rsidTr="00644BA3">
        <w:trPr>
          <w:trHeight w:val="1916"/>
        </w:trPr>
        <w:tc>
          <w:tcPr>
            <w:tcW w:w="707" w:type="pct"/>
            <w:vAlign w:val="center"/>
          </w:tcPr>
          <w:p w:rsidR="00644BA3" w:rsidRPr="00FF4511" w:rsidRDefault="00644BA3" w:rsidP="006E174F">
            <w:pPr>
              <w:pStyle w:val="NoSpacing"/>
              <w:jc w:val="center"/>
            </w:pPr>
            <w:r w:rsidRPr="00FF4511">
              <w:rPr>
                <w:b/>
                <w:bCs/>
                <w:i/>
                <w:iCs/>
              </w:rPr>
              <w:t>Use Background Knowledge:</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use their prior knowledge (everything they've read, seen, experienced) before, during, and after reading in order to enhance their understanding of what they're reading. Activating and building background knowledge is critical.</w:t>
            </w:r>
          </w:p>
        </w:tc>
        <w:tc>
          <w:tcPr>
            <w:tcW w:w="2375" w:type="pct"/>
          </w:tcPr>
          <w:p w:rsidR="00644BA3" w:rsidRPr="00FF4511" w:rsidRDefault="00644BA3" w:rsidP="006E174F">
            <w:pPr>
              <w:pStyle w:val="NoSpacing"/>
              <w:rPr>
                <w:b/>
                <w:bCs/>
                <w:i/>
                <w:iCs/>
              </w:rPr>
            </w:pPr>
          </w:p>
        </w:tc>
      </w:tr>
      <w:tr w:rsidR="00644BA3" w:rsidRPr="00FF4511" w:rsidTr="00644BA3">
        <w:trPr>
          <w:trHeight w:val="1916"/>
        </w:trPr>
        <w:tc>
          <w:tcPr>
            <w:tcW w:w="707" w:type="pct"/>
            <w:vAlign w:val="center"/>
          </w:tcPr>
          <w:p w:rsidR="00644BA3" w:rsidRPr="00FF4511" w:rsidRDefault="00644BA3" w:rsidP="006E174F">
            <w:pPr>
              <w:pStyle w:val="NoSpacing"/>
              <w:jc w:val="center"/>
            </w:pPr>
            <w:r w:rsidRPr="00FF4511">
              <w:rPr>
                <w:b/>
                <w:bCs/>
                <w:i/>
                <w:iCs/>
              </w:rPr>
              <w:t>Ask Questions:</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generate questions before, during, and after reading to clarify meaning, make predictions, and focus their attention on what's important.</w:t>
            </w:r>
            <w:r>
              <w:rPr>
                <w:sz w:val="20"/>
                <w:szCs w:val="20"/>
              </w:rPr>
              <w:t xml:space="preserve"> Reading is interactive and people</w:t>
            </w:r>
            <w:r w:rsidRPr="000E092B">
              <w:rPr>
                <w:sz w:val="20"/>
                <w:szCs w:val="20"/>
              </w:rPr>
              <w:t xml:space="preserve"> should be questioning as they read.</w:t>
            </w:r>
          </w:p>
        </w:tc>
        <w:tc>
          <w:tcPr>
            <w:tcW w:w="2375" w:type="pct"/>
          </w:tcPr>
          <w:p w:rsidR="00644BA3" w:rsidRPr="00FF4511" w:rsidRDefault="00644BA3" w:rsidP="006E174F">
            <w:pPr>
              <w:pStyle w:val="NoSpacing"/>
              <w:rPr>
                <w:b/>
                <w:bCs/>
                <w:i/>
                <w:iCs/>
              </w:rPr>
            </w:pPr>
          </w:p>
        </w:tc>
      </w:tr>
      <w:tr w:rsidR="00644BA3" w:rsidRPr="00FF4511" w:rsidTr="00644BA3">
        <w:trPr>
          <w:trHeight w:val="1916"/>
        </w:trPr>
        <w:tc>
          <w:tcPr>
            <w:tcW w:w="707" w:type="pct"/>
            <w:vAlign w:val="center"/>
          </w:tcPr>
          <w:p w:rsidR="00644BA3" w:rsidRPr="00FF4511" w:rsidRDefault="00644BA3" w:rsidP="006E174F">
            <w:pPr>
              <w:pStyle w:val="NoSpacing"/>
              <w:jc w:val="center"/>
            </w:pPr>
            <w:r w:rsidRPr="00FF4511">
              <w:rPr>
                <w:b/>
                <w:bCs/>
                <w:i/>
                <w:iCs/>
              </w:rPr>
              <w:t>Make Inferences:</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make predictions, draw conclusions, and create interpretations that deepen their understanding of text. They go beyond the literal words on the page. They notice “clues” that allow them to make inferences.</w:t>
            </w:r>
          </w:p>
        </w:tc>
        <w:tc>
          <w:tcPr>
            <w:tcW w:w="2375" w:type="pct"/>
          </w:tcPr>
          <w:p w:rsidR="00644BA3" w:rsidRPr="00FF4511" w:rsidRDefault="00644BA3" w:rsidP="006E174F">
            <w:pPr>
              <w:pStyle w:val="NoSpacing"/>
              <w:rPr>
                <w:b/>
                <w:bCs/>
                <w:i/>
                <w:iCs/>
              </w:rPr>
            </w:pPr>
          </w:p>
        </w:tc>
      </w:tr>
      <w:tr w:rsidR="00644BA3" w:rsidRPr="00FF4511" w:rsidTr="00644BA3">
        <w:trPr>
          <w:trHeight w:val="1916"/>
        </w:trPr>
        <w:tc>
          <w:tcPr>
            <w:tcW w:w="707" w:type="pct"/>
            <w:vAlign w:val="center"/>
          </w:tcPr>
          <w:p w:rsidR="00644BA3" w:rsidRPr="00FF4511" w:rsidRDefault="00644BA3" w:rsidP="006E174F">
            <w:pPr>
              <w:pStyle w:val="NoSpacing"/>
              <w:jc w:val="center"/>
            </w:pPr>
            <w:r w:rsidRPr="00FF4511">
              <w:rPr>
                <w:b/>
                <w:bCs/>
                <w:i/>
                <w:iCs/>
              </w:rPr>
              <w:t>Determine Importance:</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can distinguish between important and unimportant information when they read. They realize that all the words in a passage don't have the same weight.</w:t>
            </w:r>
          </w:p>
        </w:tc>
        <w:tc>
          <w:tcPr>
            <w:tcW w:w="2375" w:type="pct"/>
          </w:tcPr>
          <w:p w:rsidR="00644BA3" w:rsidRPr="00FF4511" w:rsidRDefault="00644BA3" w:rsidP="006E174F">
            <w:pPr>
              <w:pStyle w:val="NoSpacing"/>
              <w:rPr>
                <w:b/>
                <w:bCs/>
                <w:i/>
                <w:iCs/>
              </w:rPr>
            </w:pPr>
          </w:p>
        </w:tc>
      </w:tr>
      <w:tr w:rsidR="00644BA3" w:rsidRPr="00FF4511" w:rsidTr="00644BA3">
        <w:trPr>
          <w:trHeight w:val="1916"/>
        </w:trPr>
        <w:tc>
          <w:tcPr>
            <w:tcW w:w="707" w:type="pct"/>
            <w:vAlign w:val="center"/>
          </w:tcPr>
          <w:p w:rsidR="00644BA3" w:rsidRPr="00FF4511" w:rsidRDefault="00644BA3" w:rsidP="006E174F">
            <w:pPr>
              <w:pStyle w:val="NoSpacing"/>
              <w:jc w:val="center"/>
            </w:pPr>
            <w:r w:rsidRPr="00FF4511">
              <w:rPr>
                <w:b/>
                <w:bCs/>
                <w:i/>
                <w:iCs/>
              </w:rPr>
              <w:t>Synthesize Information:</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track their thinking as it evolves during reading in order to mine the overall meaning. They can describe in detail what it means to them.</w:t>
            </w:r>
          </w:p>
        </w:tc>
        <w:tc>
          <w:tcPr>
            <w:tcW w:w="2375" w:type="pct"/>
          </w:tcPr>
          <w:p w:rsidR="00644BA3" w:rsidRPr="00FF4511" w:rsidRDefault="00644BA3" w:rsidP="006E174F">
            <w:pPr>
              <w:pStyle w:val="NoSpacing"/>
              <w:rPr>
                <w:b/>
                <w:bCs/>
                <w:i/>
                <w:iCs/>
              </w:rPr>
            </w:pPr>
          </w:p>
        </w:tc>
      </w:tr>
      <w:tr w:rsidR="00644BA3" w:rsidTr="00644BA3">
        <w:trPr>
          <w:trHeight w:val="1916"/>
        </w:trPr>
        <w:tc>
          <w:tcPr>
            <w:tcW w:w="707" w:type="pct"/>
            <w:vAlign w:val="center"/>
          </w:tcPr>
          <w:p w:rsidR="00644BA3" w:rsidRDefault="00644BA3" w:rsidP="006E174F">
            <w:pPr>
              <w:pStyle w:val="NoSpacing"/>
              <w:jc w:val="center"/>
            </w:pPr>
            <w:r w:rsidRPr="00FF4511">
              <w:rPr>
                <w:b/>
                <w:bCs/>
                <w:i/>
                <w:iCs/>
              </w:rPr>
              <w:t>Use “Fix-Up” Strategies:</w:t>
            </w:r>
          </w:p>
        </w:tc>
        <w:tc>
          <w:tcPr>
            <w:tcW w:w="1918" w:type="pct"/>
            <w:vAlign w:val="center"/>
          </w:tcPr>
          <w:p w:rsidR="00644BA3" w:rsidRPr="000E092B" w:rsidRDefault="00644BA3" w:rsidP="006E174F">
            <w:pPr>
              <w:pStyle w:val="NoSpacing"/>
              <w:rPr>
                <w:b/>
                <w:bCs/>
                <w:i/>
                <w:iCs/>
                <w:sz w:val="20"/>
                <w:szCs w:val="20"/>
              </w:rPr>
            </w:pPr>
            <w:r w:rsidRPr="000E092B">
              <w:rPr>
                <w:sz w:val="20"/>
                <w:szCs w:val="20"/>
              </w:rPr>
              <w:t>Good readers are aware when they understand and when they don't. If they have trouble understanding specific words, phrases, or longer passages, they use a wide range of problem-solving strategies including skipping ahead, rereading, asking questions, using a dictionary, and reading the passage aloud.</w:t>
            </w:r>
          </w:p>
        </w:tc>
        <w:tc>
          <w:tcPr>
            <w:tcW w:w="2375" w:type="pct"/>
          </w:tcPr>
          <w:p w:rsidR="00644BA3" w:rsidRPr="00FF4511" w:rsidRDefault="00644BA3" w:rsidP="006E174F">
            <w:pPr>
              <w:pStyle w:val="NoSpacing"/>
              <w:rPr>
                <w:b/>
                <w:bCs/>
                <w:i/>
                <w:iCs/>
              </w:rPr>
            </w:pPr>
          </w:p>
        </w:tc>
      </w:tr>
    </w:tbl>
    <w:p w:rsidR="009D4461" w:rsidRPr="00644BA3" w:rsidRDefault="00864CF2">
      <w:pPr>
        <w:rPr>
          <w:sz w:val="2"/>
          <w:szCs w:val="2"/>
        </w:rPr>
      </w:pPr>
    </w:p>
    <w:sectPr w:rsidR="009D4461" w:rsidRPr="00644BA3" w:rsidSect="00FF4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A49BA"/>
    <w:multiLevelType w:val="multilevel"/>
    <w:tmpl w:val="327AB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11"/>
    <w:rsid w:val="000E092B"/>
    <w:rsid w:val="00393F34"/>
    <w:rsid w:val="00644BA3"/>
    <w:rsid w:val="00864CF2"/>
    <w:rsid w:val="00A03CEA"/>
    <w:rsid w:val="00C33054"/>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273FF-D6A6-48BD-8306-D23FD706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11"/>
    <w:pPr>
      <w:spacing w:after="0" w:line="240" w:lineRule="auto"/>
    </w:pPr>
  </w:style>
  <w:style w:type="table" w:styleId="TableGrid">
    <w:name w:val="Table Grid"/>
    <w:basedOn w:val="TableNormal"/>
    <w:uiPriority w:val="39"/>
    <w:rsid w:val="00FF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Munjeeta Sohal</dc:creator>
  <cp:keywords/>
  <dc:description/>
  <cp:lastModifiedBy>Munjeeta Sohal</cp:lastModifiedBy>
  <cp:revision>2</cp:revision>
  <cp:lastPrinted>2013-05-06T00:25:00Z</cp:lastPrinted>
  <dcterms:created xsi:type="dcterms:W3CDTF">2013-05-06T00:26:00Z</dcterms:created>
  <dcterms:modified xsi:type="dcterms:W3CDTF">2013-05-06T00:26:00Z</dcterms:modified>
</cp:coreProperties>
</file>